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79" w:rsidRDefault="00E42484" w:rsidP="00E14F13">
      <w:pPr>
        <w:pStyle w:val="Titre"/>
      </w:pPr>
      <w:r>
        <w:t>Cadrage L</w:t>
      </w:r>
      <w:r w:rsidR="00250E79">
        <w:t>icence</w:t>
      </w:r>
    </w:p>
    <w:p w:rsidR="00250E79" w:rsidRDefault="00250E79" w:rsidP="00E14F13"/>
    <w:p w:rsidR="00250E79" w:rsidRPr="004376D4" w:rsidRDefault="00250E79" w:rsidP="005465B2">
      <w:pPr>
        <w:pStyle w:val="Titre1"/>
      </w:pPr>
      <w:r w:rsidRPr="004376D4">
        <w:t>I. Cadrage National des Formations (CNF) communs aux L et M.</w:t>
      </w:r>
    </w:p>
    <w:p w:rsidR="00F07BAD" w:rsidRDefault="00F07BAD" w:rsidP="00E14F13"/>
    <w:p w:rsidR="00250E79" w:rsidRDefault="00F07BAD" w:rsidP="00E14F13">
      <w:r>
        <w:t>Toute formation doit respecter le cadre national des Formation, a</w:t>
      </w:r>
      <w:r w:rsidR="00250E79">
        <w:t>rrêté du 22 janvier 2014 fixant le cadre national des formations conduisant à la délivrance des diplômes nationaux de licence, de licence professionnelle et de master</w:t>
      </w:r>
      <w:r>
        <w:t>.</w:t>
      </w:r>
    </w:p>
    <w:p w:rsidR="00250E79" w:rsidRDefault="00250E79" w:rsidP="00E14F13"/>
    <w:p w:rsidR="00250E79" w:rsidRDefault="00250E79" w:rsidP="00E14F13"/>
    <w:p w:rsidR="00250E79" w:rsidRDefault="004376D4" w:rsidP="005465B2">
      <w:pPr>
        <w:pStyle w:val="Titre1"/>
      </w:pPr>
      <w:r>
        <w:t>II. Cadrage national spécifique aux licences</w:t>
      </w:r>
    </w:p>
    <w:p w:rsidR="00250E79" w:rsidRDefault="00250E79" w:rsidP="00F07BAD"/>
    <w:p w:rsidR="00F07BAD" w:rsidRDefault="00F07BAD" w:rsidP="00066387">
      <w:pPr>
        <w:rPr>
          <w:rFonts w:eastAsiaTheme="minorHAnsi"/>
          <w:lang w:eastAsia="en-US"/>
        </w:rPr>
      </w:pPr>
      <w:r>
        <w:rPr>
          <w:rFonts w:ascii="Univers-Bold" w:eastAsiaTheme="minorHAnsi" w:hAnsi="Univers-Bold" w:cs="Univers-Bold"/>
          <w:b/>
          <w:bCs/>
          <w:sz w:val="20"/>
          <w:szCs w:val="20"/>
          <w:lang w:eastAsia="en-US"/>
        </w:rPr>
        <w:t xml:space="preserve">Art. 14. − </w:t>
      </w:r>
      <w:r>
        <w:rPr>
          <w:rFonts w:eastAsiaTheme="minorHAnsi"/>
          <w:lang w:eastAsia="en-US"/>
        </w:rPr>
        <w:t>L’aménagement des parcours dès la première année de licence permet la réussite des étudiants en tenant compte des profils des bacheliers.</w:t>
      </w:r>
    </w:p>
    <w:p w:rsidR="00F07BAD" w:rsidRDefault="00F07BAD" w:rsidP="00066387">
      <w:pPr>
        <w:rPr>
          <w:rFonts w:eastAsiaTheme="minorHAnsi"/>
          <w:lang w:eastAsia="en-US"/>
        </w:rPr>
      </w:pPr>
      <w:r>
        <w:rPr>
          <w:rFonts w:eastAsiaTheme="minorHAnsi"/>
          <w:lang w:eastAsia="en-US"/>
        </w:rPr>
        <w:t>L’organisation de la formation favorise l’intégration en cours de cursus de licence d’étudiants issus de sections de technicien supérieur et de formations aux diplômes universitaires de technologie, que ce soit dans le cadre de réorientations, de poursuite ou de reprise d’études.</w:t>
      </w:r>
    </w:p>
    <w:p w:rsidR="00F07BAD" w:rsidRDefault="00F07BAD" w:rsidP="00F07BAD">
      <w:pPr>
        <w:rPr>
          <w:rFonts w:ascii="Univers-Bold" w:eastAsiaTheme="minorHAnsi" w:hAnsi="Univers-Bold" w:cs="Univers-Bold"/>
          <w:b/>
          <w:bCs/>
          <w:color w:val="2C2A2A"/>
          <w:sz w:val="20"/>
          <w:szCs w:val="20"/>
          <w:lang w:eastAsia="en-US"/>
        </w:rPr>
      </w:pPr>
    </w:p>
    <w:p w:rsidR="00F07BAD" w:rsidRDefault="00F07BAD" w:rsidP="00066387">
      <w:pPr>
        <w:rPr>
          <w:rFonts w:eastAsiaTheme="minorHAnsi"/>
          <w:lang w:eastAsia="en-US"/>
        </w:rPr>
      </w:pPr>
      <w:r>
        <w:rPr>
          <w:rFonts w:ascii="Univers-Bold" w:eastAsiaTheme="minorHAnsi" w:hAnsi="Univers-Bold" w:cs="Univers-Bold"/>
          <w:b/>
          <w:bCs/>
          <w:sz w:val="20"/>
          <w:szCs w:val="20"/>
          <w:lang w:eastAsia="en-US"/>
        </w:rPr>
        <w:t xml:space="preserve">Art. 15. − </w:t>
      </w:r>
      <w:r>
        <w:rPr>
          <w:rFonts w:eastAsiaTheme="minorHAnsi"/>
          <w:lang w:eastAsia="en-US"/>
        </w:rPr>
        <w:t>Conformément à l’article L. 612-2 du code de l’éducation, les parcours types mentionnés à l’article 4 du présent arrêté sont conçus de manière à permettre aux étudiants d’élaborer progressivement leur projet personnel et professionnel en favorisant leur intégration, leur orientation et leur spécialisation au fur et à mesure de l’avancée dans le cursus.</w:t>
      </w:r>
    </w:p>
    <w:p w:rsidR="00F07BAD" w:rsidRDefault="00F07BAD" w:rsidP="00066387">
      <w:pPr>
        <w:rPr>
          <w:rFonts w:eastAsiaTheme="minorHAnsi"/>
          <w:lang w:eastAsia="en-US"/>
        </w:rPr>
      </w:pPr>
      <w:r>
        <w:rPr>
          <w:rFonts w:eastAsiaTheme="minorHAnsi"/>
          <w:lang w:eastAsia="en-US"/>
        </w:rPr>
        <w:t>La spécialisation progressive repose sur la mise en œuvre du principe de continuité, méthodologique et pédagogique, entre l’enseignement secondaire et l’enseignement supérieur. Cette continuité inclut des séquences d’accompagnement en début de formation, puis à chacune des étapes clés de la formation en fin d’année universitaire ou de semestre de formation. Elles permettent l’élaboration du projet personnel et professionnel.</w:t>
      </w:r>
    </w:p>
    <w:p w:rsidR="00F07BAD" w:rsidRDefault="00F07BAD" w:rsidP="00066387">
      <w:pPr>
        <w:rPr>
          <w:rFonts w:eastAsiaTheme="minorHAnsi"/>
          <w:lang w:eastAsia="en-US"/>
        </w:rPr>
      </w:pPr>
      <w:r>
        <w:rPr>
          <w:rFonts w:eastAsiaTheme="minorHAnsi"/>
          <w:lang w:eastAsia="en-US"/>
        </w:rPr>
        <w:t>L’architecture des parcours types en licence est élaborée par les établissements, au sein de leur offre de formation, conformément aux principes suivants :</w:t>
      </w:r>
    </w:p>
    <w:p w:rsidR="00F07BAD" w:rsidRDefault="00F07BAD" w:rsidP="00066387">
      <w:pPr>
        <w:rPr>
          <w:rFonts w:eastAsiaTheme="minorHAnsi"/>
          <w:lang w:eastAsia="en-US"/>
        </w:rPr>
      </w:pPr>
      <w:r>
        <w:rPr>
          <w:rFonts w:eastAsiaTheme="minorHAnsi"/>
          <w:lang w:eastAsia="en-US"/>
        </w:rPr>
        <w:t>– en début de cycle, tout étudiant doit pouvoir bénéficier d’une organisation donnant accès à plusieurs mentions de licence ou de licence professionnelle ;</w:t>
      </w:r>
    </w:p>
    <w:p w:rsidR="00F07BAD" w:rsidRDefault="00F07BAD" w:rsidP="00066387">
      <w:pPr>
        <w:rPr>
          <w:rFonts w:eastAsiaTheme="minorHAnsi"/>
          <w:lang w:eastAsia="en-US"/>
        </w:rPr>
      </w:pPr>
      <w:r>
        <w:rPr>
          <w:rFonts w:eastAsiaTheme="minorHAnsi"/>
          <w:lang w:eastAsia="en-US"/>
        </w:rPr>
        <w:t>– cette organisation repose sur des équipes pédagogiques pluridisciplinaires ;</w:t>
      </w:r>
    </w:p>
    <w:p w:rsidR="00F07BAD" w:rsidRDefault="00F07BAD" w:rsidP="00066387">
      <w:pPr>
        <w:rPr>
          <w:rFonts w:eastAsiaTheme="minorHAnsi"/>
          <w:lang w:eastAsia="en-US"/>
        </w:rPr>
      </w:pPr>
      <w:r>
        <w:rPr>
          <w:rFonts w:eastAsiaTheme="minorHAnsi"/>
          <w:lang w:eastAsia="en-US"/>
        </w:rPr>
        <w:t>– cette organisation permet à tout étudiant, en cours de cycle et au plus tard à la fin du semestre 4 du cycle licence, de retarder ou de modifier le choix de sa mention de licence ou de licence professionnelle en lien avec son projet personnel et professionnel en gardant le bénéfice des crédits ECTS acquis. Cette organisation se traduit donc par un socle commun défini en termes de compétences suffisantes pour permettre ces réorientations ;</w:t>
      </w:r>
    </w:p>
    <w:p w:rsidR="00F07BAD" w:rsidRDefault="00F07BAD" w:rsidP="00066387">
      <w:pPr>
        <w:rPr>
          <w:rFonts w:eastAsiaTheme="minorHAnsi"/>
          <w:lang w:eastAsia="en-US"/>
        </w:rPr>
      </w:pPr>
      <w:r>
        <w:rPr>
          <w:rFonts w:eastAsiaTheme="minorHAnsi"/>
          <w:lang w:eastAsia="en-US"/>
        </w:rPr>
        <w:t>– tout étudiant bénéficie de paliers d’orientation lui permettant, sur la base des connaissances et des compétences qu’il a acquises, de rejoindre soit l’un ou l’autre des parcours types de la formation en question, soit une autre formation dans l’hypothèse où celle dans laquelle il est engagé se révélerait ne pas ou ne plus correspondre à son projet.</w:t>
      </w:r>
    </w:p>
    <w:p w:rsidR="00250E79" w:rsidRDefault="00F07BAD" w:rsidP="00066387">
      <w:pPr>
        <w:rPr>
          <w:rFonts w:eastAsiaTheme="minorHAnsi"/>
          <w:lang w:eastAsia="en-US"/>
        </w:rPr>
      </w:pPr>
      <w:r>
        <w:rPr>
          <w:rFonts w:eastAsiaTheme="minorHAnsi"/>
          <w:lang w:eastAsia="en-US"/>
        </w:rPr>
        <w:lastRenderedPageBreak/>
        <w:t>L’offre de formation conduisant au diplôme national de licence a pour objectif qu’au sein de chaque mention de licence un parcours type préparant à une ou à plusieurs mentions de licence professionnelle soit proposé aux étudiants. Le choix de ce parcours type par l’étudiant ne peut avoir pour effet d’empêcher la poursuite d’études jusqu’au diplôme national de licence.</w:t>
      </w:r>
    </w:p>
    <w:p w:rsidR="00F07BAD" w:rsidRDefault="00F07BAD" w:rsidP="00D872D2">
      <w:pPr>
        <w:rPr>
          <w:rFonts w:eastAsiaTheme="minorHAnsi"/>
          <w:lang w:eastAsia="en-US"/>
        </w:rPr>
      </w:pPr>
    </w:p>
    <w:p w:rsidR="00F07BAD" w:rsidRDefault="00F07BAD" w:rsidP="00D872D2"/>
    <w:p w:rsidR="00250E79" w:rsidRDefault="00250E79" w:rsidP="005465B2">
      <w:pPr>
        <w:pStyle w:val="Titre1"/>
      </w:pPr>
      <w:r>
        <w:t>II</w:t>
      </w:r>
      <w:r w:rsidR="004376D4">
        <w:t>I</w:t>
      </w:r>
      <w:r>
        <w:t>. Cadrage établissement</w:t>
      </w:r>
    </w:p>
    <w:p w:rsidR="00250E79" w:rsidRDefault="00250E79" w:rsidP="00E14F13"/>
    <w:p w:rsidR="00250E79" w:rsidRDefault="000A5431" w:rsidP="00E14F13">
      <w:r>
        <w:t>1 UE comporte entre 3 et 9 crédits</w:t>
      </w:r>
    </w:p>
    <w:p w:rsidR="000A5431" w:rsidRDefault="000A5431" w:rsidP="00E14F13">
      <w:r>
        <w:t>1 ECTS correspond à 10 heures étudiants</w:t>
      </w:r>
    </w:p>
    <w:p w:rsidR="00250E79" w:rsidRDefault="005465B2" w:rsidP="00E14F13">
      <w:r>
        <w:t>….</w:t>
      </w:r>
    </w:p>
    <w:p w:rsidR="005465B2" w:rsidRDefault="005465B2" w:rsidP="00E14F13"/>
    <w:p w:rsidR="005465B2" w:rsidRDefault="005465B2" w:rsidP="00E14F13"/>
    <w:p w:rsidR="00250E79" w:rsidRDefault="004376D4" w:rsidP="005465B2">
      <w:pPr>
        <w:pStyle w:val="Titre1"/>
      </w:pPr>
      <w:r>
        <w:t>IV</w:t>
      </w:r>
      <w:r w:rsidR="00250E79">
        <w:t>. Cadrage UFR</w:t>
      </w:r>
    </w:p>
    <w:p w:rsidR="00250E79" w:rsidRDefault="00250E79" w:rsidP="00E14F13"/>
    <w:p w:rsidR="007041C7" w:rsidRDefault="007041C7" w:rsidP="007041C7">
      <w:pPr>
        <w:pStyle w:val="Titre2"/>
      </w:pPr>
      <w:r>
        <w:t>1/ La mention</w:t>
      </w:r>
    </w:p>
    <w:p w:rsidR="007041C7" w:rsidRDefault="007041C7" w:rsidP="00E14F13"/>
    <w:p w:rsidR="007041C7" w:rsidRDefault="007041C7" w:rsidP="00E14F13">
      <w:r>
        <w:t xml:space="preserve">La mention correspond à un ensemble de compétences disciplinaires qui lui sont propres et à des compétences transversales à toutes les licences de la Faculté. </w:t>
      </w:r>
    </w:p>
    <w:p w:rsidR="007041C7" w:rsidRDefault="007041C7" w:rsidP="00E14F13">
      <w:r>
        <w:t>Les compétences disciplinaires sont partagées par tous les parcours.</w:t>
      </w:r>
    </w:p>
    <w:p w:rsidR="007041C7" w:rsidRDefault="007041C7" w:rsidP="00E14F13">
      <w:r>
        <w:t>La mention permet de s’orienter vers le</w:t>
      </w:r>
      <w:r w:rsidR="0068286E">
        <w:t>s masters de la même discipline : elle doit apporter les prérequis nécessaires à leurs suivis.</w:t>
      </w:r>
    </w:p>
    <w:p w:rsidR="007041C7" w:rsidRDefault="007041C7" w:rsidP="00E14F13"/>
    <w:p w:rsidR="007041C7" w:rsidRDefault="007041C7" w:rsidP="007041C7">
      <w:pPr>
        <w:pStyle w:val="Titre2"/>
      </w:pPr>
      <w:r>
        <w:t>2/ Les parcours</w:t>
      </w:r>
    </w:p>
    <w:p w:rsidR="007041C7" w:rsidRDefault="007041C7" w:rsidP="00E14F13"/>
    <w:p w:rsidR="007041C7" w:rsidRDefault="007041C7" w:rsidP="00E14F13">
      <w:r>
        <w:t>Le parcours apporte une spécialisation, le renforcement d’un thème inclus dans la mention. Il facilite une poursuite d’étude dans ce même thème au niveau master.</w:t>
      </w:r>
    </w:p>
    <w:p w:rsidR="007041C7" w:rsidRDefault="007041C7" w:rsidP="00E14F13"/>
    <w:p w:rsidR="007041C7" w:rsidRDefault="007041C7" w:rsidP="00E14F13">
      <w:r>
        <w:t>Dans un parcours, il n’existe pas de « sous-parcours » mais des choix d’options.</w:t>
      </w:r>
    </w:p>
    <w:p w:rsidR="007041C7" w:rsidRDefault="007041C7" w:rsidP="00E14F13"/>
    <w:p w:rsidR="007041C7" w:rsidRDefault="007041C7" w:rsidP="00E14F13">
      <w:r>
        <w:t>Une option correspond à un choix d’UE de même nature : renforcement, ouverture, spécialisation…</w:t>
      </w:r>
    </w:p>
    <w:p w:rsidR="007041C7" w:rsidRDefault="004343AE" w:rsidP="00E14F13">
      <w:r>
        <w:t>Les options de licence ne proposent pas plus d’UE que le nombre d’étudiants attendus divisés par 10.</w:t>
      </w:r>
    </w:p>
    <w:p w:rsidR="001A28DD" w:rsidRDefault="001A28DD" w:rsidP="00E14F13"/>
    <w:p w:rsidR="000A5431" w:rsidRPr="004376D4" w:rsidRDefault="007041C7" w:rsidP="004376D4">
      <w:pPr>
        <w:pStyle w:val="Titre2"/>
      </w:pPr>
      <w:r>
        <w:t>3</w:t>
      </w:r>
      <w:r w:rsidR="000A5431" w:rsidRPr="004376D4">
        <w:t xml:space="preserve">/ </w:t>
      </w:r>
      <w:r w:rsidR="00E14F13" w:rsidRPr="004376D4">
        <w:t xml:space="preserve">L’organisation des </w:t>
      </w:r>
      <w:r>
        <w:t>mentions de licence</w:t>
      </w:r>
    </w:p>
    <w:p w:rsidR="00E14F13" w:rsidRDefault="00E14F13" w:rsidP="00E14F13"/>
    <w:p w:rsidR="00E14F13" w:rsidRPr="00E14F13" w:rsidRDefault="00E14F13" w:rsidP="00E14F13">
      <w:r w:rsidRPr="00E14F13">
        <w:t>-</w:t>
      </w:r>
      <w:r w:rsidR="007041C7">
        <w:t xml:space="preserve"> </w:t>
      </w:r>
      <w:r w:rsidRPr="00E14F13">
        <w:t>La</w:t>
      </w:r>
      <w:r w:rsidRPr="00E14F13">
        <w:rPr>
          <w:rStyle w:val="apple-converted-space"/>
        </w:rPr>
        <w:t xml:space="preserve"> </w:t>
      </w:r>
      <w:r w:rsidRPr="00E14F13">
        <w:rPr>
          <w:rStyle w:val="lev"/>
          <w:b w:val="0"/>
          <w:bCs w:val="0"/>
        </w:rPr>
        <w:t>première année</w:t>
      </w:r>
      <w:r w:rsidRPr="00E14F13">
        <w:t>, ou portail, est une</w:t>
      </w:r>
      <w:r w:rsidR="007041C7">
        <w:rPr>
          <w:rStyle w:val="apple-converted-space"/>
        </w:rPr>
        <w:t xml:space="preserve"> </w:t>
      </w:r>
      <w:r w:rsidRPr="00E14F13">
        <w:rPr>
          <w:rStyle w:val="lev"/>
          <w:b w:val="0"/>
          <w:bCs w:val="0"/>
        </w:rPr>
        <w:t>année de découverte</w:t>
      </w:r>
      <w:r w:rsidRPr="00E14F13">
        <w:t xml:space="preserve">, commune à plusieurs mentions. </w:t>
      </w:r>
    </w:p>
    <w:p w:rsidR="00E14F13" w:rsidRPr="00E14F13" w:rsidRDefault="00E14F13" w:rsidP="00E14F13"/>
    <w:p w:rsidR="00E14F13" w:rsidRPr="00E14F13" w:rsidRDefault="00E14F13" w:rsidP="00E14F13">
      <w:r w:rsidRPr="00E14F13">
        <w:t>-</w:t>
      </w:r>
      <w:r w:rsidR="007041C7">
        <w:t xml:space="preserve"> </w:t>
      </w:r>
      <w:r w:rsidRPr="00E14F13">
        <w:t>La</w:t>
      </w:r>
      <w:r w:rsidRPr="00E14F13">
        <w:rPr>
          <w:rStyle w:val="apple-converted-space"/>
        </w:rPr>
        <w:t xml:space="preserve"> </w:t>
      </w:r>
      <w:r w:rsidR="007041C7">
        <w:rPr>
          <w:rStyle w:val="lev"/>
          <w:b w:val="0"/>
          <w:bCs w:val="0"/>
        </w:rPr>
        <w:t>deuxième année</w:t>
      </w:r>
      <w:r w:rsidRPr="00E14F13">
        <w:rPr>
          <w:rStyle w:val="lev"/>
          <w:b w:val="0"/>
          <w:bCs w:val="0"/>
        </w:rPr>
        <w:t xml:space="preserve"> </w:t>
      </w:r>
      <w:r w:rsidRPr="00E14F13">
        <w:t>est</w:t>
      </w:r>
      <w:r w:rsidRPr="00E14F13">
        <w:rPr>
          <w:rStyle w:val="apple-converted-space"/>
        </w:rPr>
        <w:t xml:space="preserve"> </w:t>
      </w:r>
      <w:r w:rsidRPr="00E14F13">
        <w:rPr>
          <w:rStyle w:val="lev"/>
          <w:b w:val="0"/>
          <w:bCs w:val="0"/>
        </w:rPr>
        <w:t>l'année d'orientation</w:t>
      </w:r>
      <w:r w:rsidRPr="00E14F13">
        <w:rPr>
          <w:rStyle w:val="apple-converted-space"/>
        </w:rPr>
        <w:t xml:space="preserve"> </w:t>
      </w:r>
      <w:r w:rsidRPr="00E14F13">
        <w:t xml:space="preserve">vers une des mentions du portail. </w:t>
      </w:r>
    </w:p>
    <w:p w:rsidR="00E14F13" w:rsidRPr="00E14F13" w:rsidRDefault="007041C7" w:rsidP="00E14F13">
      <w:r>
        <w:lastRenderedPageBreak/>
        <w:t xml:space="preserve">Au sein d’une mention, si des parcours débutent à ce niveau, </w:t>
      </w:r>
      <w:r w:rsidR="00E14F13" w:rsidRPr="00E14F13">
        <w:t xml:space="preserve">une forte mutualisation d’UE existe entre </w:t>
      </w:r>
      <w:r>
        <w:t>ceux-ci</w:t>
      </w:r>
      <w:r w:rsidR="00E14F13" w:rsidRPr="00E14F13">
        <w:t xml:space="preserve"> permettant des passerelles entre ceux-ci.</w:t>
      </w:r>
      <w:r>
        <w:t xml:space="preserve"> </w:t>
      </w:r>
    </w:p>
    <w:p w:rsidR="00E14F13" w:rsidRPr="00E14F13" w:rsidRDefault="00E14F13" w:rsidP="00E14F13">
      <w:r w:rsidRPr="00E14F13">
        <w:t>-</w:t>
      </w:r>
      <w:r w:rsidR="007041C7">
        <w:t xml:space="preserve"> </w:t>
      </w:r>
      <w:r w:rsidRPr="00E14F13">
        <w:t>La</w:t>
      </w:r>
      <w:r w:rsidR="00066387">
        <w:rPr>
          <w:rStyle w:val="apple-converted-space"/>
        </w:rPr>
        <w:t xml:space="preserve"> </w:t>
      </w:r>
      <w:r w:rsidR="007041C7">
        <w:rPr>
          <w:rStyle w:val="lev"/>
          <w:b w:val="0"/>
          <w:bCs w:val="0"/>
        </w:rPr>
        <w:t>troisième année</w:t>
      </w:r>
      <w:r w:rsidRPr="00E14F13">
        <w:t xml:space="preserve"> est</w:t>
      </w:r>
      <w:r w:rsidRPr="00E14F13">
        <w:rPr>
          <w:rStyle w:val="apple-converted-space"/>
        </w:rPr>
        <w:t xml:space="preserve"> </w:t>
      </w:r>
      <w:r w:rsidRPr="00E14F13">
        <w:rPr>
          <w:rStyle w:val="lev"/>
          <w:b w:val="0"/>
          <w:bCs w:val="0"/>
        </w:rPr>
        <w:t>une année de spécialisation</w:t>
      </w:r>
      <w:r w:rsidRPr="00E14F13">
        <w:rPr>
          <w:rStyle w:val="apple-converted-space"/>
        </w:rPr>
        <w:t> </w:t>
      </w:r>
      <w:r w:rsidRPr="00E14F13">
        <w:t>et se décline en parcours.</w:t>
      </w:r>
    </w:p>
    <w:p w:rsidR="002807A2" w:rsidRDefault="002807A2" w:rsidP="00E14F13"/>
    <w:p w:rsidR="002807A2" w:rsidRDefault="007041C7" w:rsidP="004376D4">
      <w:pPr>
        <w:pStyle w:val="Titre2"/>
      </w:pPr>
      <w:r>
        <w:t>4</w:t>
      </w:r>
      <w:r w:rsidR="00E14F13">
        <w:t>/ La notion de portail</w:t>
      </w:r>
    </w:p>
    <w:p w:rsidR="00E14F13" w:rsidRDefault="00E14F13" w:rsidP="00E14F13"/>
    <w:p w:rsidR="00E14F13" w:rsidRPr="00E14F13" w:rsidRDefault="00E14F13" w:rsidP="00E14F13">
      <w:r w:rsidRPr="00E14F13">
        <w:t>Il permet d’acquérir un socle commun de connaissances nécessaires pour continuer dans chacune des mentions le constituant.</w:t>
      </w:r>
    </w:p>
    <w:p w:rsidR="00E14F13" w:rsidRPr="00E14F13" w:rsidRDefault="00E14F13" w:rsidP="00E14F13">
      <w:r w:rsidRPr="00E14F13">
        <w:t>Il permet d’afficher la pluridisciplinarité nécessaire à la construction des savoirs scientifiques.</w:t>
      </w:r>
    </w:p>
    <w:p w:rsidR="00E14F13" w:rsidRPr="00E14F13" w:rsidRDefault="00E14F13" w:rsidP="00E14F13">
      <w:r w:rsidRPr="00E14F13">
        <w:t>Un portail signifie qu’un étudiant peut s’inscrire en L2 dans n’importe quelle mention intégrée au portail. Par exemple, un étudiant inscrit dans un des portails 2 ou 3 peut s’inscrire en L2 chimie sans avoir d’UE à rattraper.</w:t>
      </w:r>
    </w:p>
    <w:p w:rsidR="00E14F13" w:rsidRDefault="00E14F13" w:rsidP="00E14F13"/>
    <w:p w:rsidR="00E14F13" w:rsidRPr="00E14F13" w:rsidRDefault="00E14F13" w:rsidP="00E14F13">
      <w:r w:rsidRPr="00E14F13">
        <w:t>Les formations de licences dans la Faculté des Sciences s’organiseront autour de 3 portails :</w:t>
      </w:r>
    </w:p>
    <w:p w:rsidR="00E14F13" w:rsidRPr="00E14F13" w:rsidRDefault="00E14F13" w:rsidP="00E14F13">
      <w:r w:rsidRPr="00E14F13">
        <w:tab/>
        <w:t>- 1. Mathématique, physique, informatique, mécanique et MIASHS</w:t>
      </w:r>
    </w:p>
    <w:p w:rsidR="00E14F13" w:rsidRPr="00E14F13" w:rsidRDefault="00E14F13" w:rsidP="00E14F13">
      <w:r w:rsidRPr="00E14F13">
        <w:tab/>
        <w:t>- 2. SV, SVT, SSS et chimie</w:t>
      </w:r>
    </w:p>
    <w:p w:rsidR="00E14F13" w:rsidRPr="00E14F13" w:rsidRDefault="00E14F13" w:rsidP="00E14F13">
      <w:r w:rsidRPr="00E14F13">
        <w:tab/>
        <w:t>- 3. Physique, chimie, et SPI.</w:t>
      </w:r>
    </w:p>
    <w:p w:rsidR="00E14F13" w:rsidRDefault="00E14F13" w:rsidP="00E14F13"/>
    <w:p w:rsidR="004376D4" w:rsidRDefault="007041C7" w:rsidP="004376D4">
      <w:pPr>
        <w:pStyle w:val="Titre2"/>
      </w:pPr>
      <w:r>
        <w:t>5</w:t>
      </w:r>
      <w:r w:rsidR="004376D4">
        <w:t>/ La place des licences professionnelles</w:t>
      </w:r>
    </w:p>
    <w:p w:rsidR="004376D4" w:rsidRDefault="004376D4" w:rsidP="00E14F13"/>
    <w:p w:rsidR="004376D4" w:rsidRDefault="004376D4" w:rsidP="00E14F13">
      <w:r>
        <w:t>Chaque mention de licence affiche une ou plusieurs licences professionnelles susceptibles d’accueillir des étudiants de L2 de cette mention.</w:t>
      </w:r>
    </w:p>
    <w:p w:rsidR="004376D4" w:rsidRDefault="004376D4" w:rsidP="00E14F13"/>
    <w:p w:rsidR="004376D4" w:rsidRPr="00E14F13" w:rsidRDefault="004376D4" w:rsidP="004376D4">
      <w:r>
        <w:t xml:space="preserve">Un approfondissement du projet professionnel </w:t>
      </w:r>
      <w:r w:rsidR="007041C7">
        <w:t xml:space="preserve">en L2 </w:t>
      </w:r>
      <w:r>
        <w:t>permet aux étudiants le désirant de s’orienter en L3 vers une des licences professionnelles affiliées à la mention.</w:t>
      </w:r>
    </w:p>
    <w:p w:rsidR="004376D4" w:rsidRDefault="004376D4" w:rsidP="00E14F13"/>
    <w:p w:rsidR="00037EA9" w:rsidRDefault="007041C7" w:rsidP="00037EA9">
      <w:pPr>
        <w:pStyle w:val="Titre2"/>
      </w:pPr>
      <w:r>
        <w:t>6</w:t>
      </w:r>
      <w:r w:rsidR="00037EA9">
        <w:t>/ L’existence d’une « année 0 »</w:t>
      </w:r>
    </w:p>
    <w:p w:rsidR="00037EA9" w:rsidRDefault="00037EA9" w:rsidP="00E14F13">
      <w:r>
        <w:t>La loi nous permet d’adapter la première année afin de permettre la réussite de tous nos profils d’étudiants.</w:t>
      </w:r>
    </w:p>
    <w:p w:rsidR="00037EA9" w:rsidRDefault="00037EA9" w:rsidP="00E14F13">
      <w:r>
        <w:t>Après tests en ligne et entretien avec un enseignant responsable, l’étudiant est orienté en année 1 de licence ou de licence renforcée, en ce sens qu’elle est renforcée en « base ».</w:t>
      </w:r>
    </w:p>
    <w:p w:rsidR="00037EA9" w:rsidRDefault="00037EA9" w:rsidP="00E14F13">
      <w:r>
        <w:t>La licence renforcée dure 4 ans et s’appuie sur une année 1 dédoublée….</w:t>
      </w:r>
      <w:r>
        <w:br/>
      </w:r>
    </w:p>
    <w:p w:rsidR="00037EA9" w:rsidRDefault="00037EA9" w:rsidP="00E14F13">
      <w:r>
        <w:t>Le portail 1 propose une licence renforcée sur le site de St Charles.</w:t>
      </w:r>
    </w:p>
    <w:p w:rsidR="00037EA9" w:rsidRDefault="00037EA9" w:rsidP="00037EA9">
      <w:r>
        <w:t xml:space="preserve">Le portail 2 propose une licence renforcée sur le site de </w:t>
      </w:r>
      <w:proofErr w:type="spellStart"/>
      <w:r>
        <w:t>Luminy</w:t>
      </w:r>
      <w:proofErr w:type="spellEnd"/>
      <w:r>
        <w:t>.</w:t>
      </w:r>
    </w:p>
    <w:p w:rsidR="00037EA9" w:rsidRDefault="00037EA9" w:rsidP="00037EA9">
      <w:r>
        <w:t xml:space="preserve">Le portail </w:t>
      </w:r>
      <w:r w:rsidR="007041C7">
        <w:t>3</w:t>
      </w:r>
      <w:r>
        <w:t xml:space="preserve"> propose une licence renforcée sur le site de St Jérôme.</w:t>
      </w:r>
    </w:p>
    <w:p w:rsidR="00C66031" w:rsidRDefault="00C66031" w:rsidP="00037EA9"/>
    <w:p w:rsidR="00C66031" w:rsidRDefault="007041C7" w:rsidP="00C66031">
      <w:pPr>
        <w:pStyle w:val="Titre2"/>
      </w:pPr>
      <w:r>
        <w:t>7</w:t>
      </w:r>
      <w:r w:rsidR="00C66031">
        <w:t>/ La place de l’insertion professionnel en licence</w:t>
      </w:r>
    </w:p>
    <w:p w:rsidR="00C66031" w:rsidRDefault="00C66031" w:rsidP="00037EA9"/>
    <w:p w:rsidR="00C66031" w:rsidRDefault="007041C7" w:rsidP="00037EA9">
      <w:r>
        <w:t>Cf. groupe de travail</w:t>
      </w:r>
    </w:p>
    <w:p w:rsidR="001A28DD" w:rsidRDefault="001A28DD" w:rsidP="00037EA9">
      <w:bookmarkStart w:id="0" w:name="_GoBack"/>
      <w:bookmarkEnd w:id="0"/>
    </w:p>
    <w:p w:rsidR="00C66031" w:rsidRDefault="007041C7" w:rsidP="00C66031">
      <w:pPr>
        <w:pStyle w:val="Titre2"/>
      </w:pPr>
      <w:r>
        <w:lastRenderedPageBreak/>
        <w:t>8</w:t>
      </w:r>
      <w:r w:rsidR="00C66031">
        <w:t>/ La place de l’anglais en licence</w:t>
      </w:r>
    </w:p>
    <w:p w:rsidR="00C66031" w:rsidRDefault="00C66031" w:rsidP="00037EA9"/>
    <w:p w:rsidR="007041C7" w:rsidRDefault="007041C7" w:rsidP="007041C7">
      <w:r>
        <w:t>Cf. groupe de travail</w:t>
      </w:r>
    </w:p>
    <w:p w:rsidR="00C66031" w:rsidRDefault="00C66031" w:rsidP="00037EA9"/>
    <w:sectPr w:rsidR="00C660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321" w:rsidRDefault="00035321" w:rsidP="007041C7">
      <w:r>
        <w:separator/>
      </w:r>
    </w:p>
  </w:endnote>
  <w:endnote w:type="continuationSeparator" w:id="0">
    <w:p w:rsidR="00035321" w:rsidRDefault="00035321" w:rsidP="0070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Univer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34785"/>
      <w:docPartObj>
        <w:docPartGallery w:val="Page Numbers (Bottom of Page)"/>
        <w:docPartUnique/>
      </w:docPartObj>
    </w:sdtPr>
    <w:sdtEndPr/>
    <w:sdtContent>
      <w:p w:rsidR="007041C7" w:rsidRDefault="007041C7">
        <w:pPr>
          <w:pStyle w:val="Pieddepage"/>
          <w:jc w:val="right"/>
        </w:pPr>
        <w:r>
          <w:fldChar w:fldCharType="begin"/>
        </w:r>
        <w:r>
          <w:instrText>PAGE   \* MERGEFORMAT</w:instrText>
        </w:r>
        <w:r>
          <w:fldChar w:fldCharType="separate"/>
        </w:r>
        <w:r w:rsidR="001A28DD">
          <w:rPr>
            <w:noProof/>
          </w:rPr>
          <w:t>4</w:t>
        </w:r>
        <w:r>
          <w:fldChar w:fldCharType="end"/>
        </w:r>
      </w:p>
    </w:sdtContent>
  </w:sdt>
  <w:p w:rsidR="007041C7" w:rsidRDefault="007041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321" w:rsidRDefault="00035321" w:rsidP="007041C7">
      <w:r>
        <w:separator/>
      </w:r>
    </w:p>
  </w:footnote>
  <w:footnote w:type="continuationSeparator" w:id="0">
    <w:p w:rsidR="00035321" w:rsidRDefault="00035321" w:rsidP="00704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1C7" w:rsidRDefault="007041C7">
    <w:pPr>
      <w:pStyle w:val="En-tte"/>
    </w:pPr>
    <w:r>
      <w:t>Faculté des Sciences – Janvier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C3279"/>
    <w:multiLevelType w:val="hybridMultilevel"/>
    <w:tmpl w:val="0B6EE82C"/>
    <w:lvl w:ilvl="0" w:tplc="5EE264B8">
      <w:start w:val="1"/>
      <w:numFmt w:val="bullet"/>
      <w:lvlText w:val="•"/>
      <w:lvlJc w:val="left"/>
      <w:pPr>
        <w:tabs>
          <w:tab w:val="num" w:pos="720"/>
        </w:tabs>
        <w:ind w:left="720" w:hanging="360"/>
      </w:pPr>
      <w:rPr>
        <w:rFonts w:ascii="Arial" w:hAnsi="Arial" w:hint="default"/>
      </w:rPr>
    </w:lvl>
    <w:lvl w:ilvl="1" w:tplc="798A327C" w:tentative="1">
      <w:start w:val="1"/>
      <w:numFmt w:val="bullet"/>
      <w:lvlText w:val="•"/>
      <w:lvlJc w:val="left"/>
      <w:pPr>
        <w:tabs>
          <w:tab w:val="num" w:pos="1440"/>
        </w:tabs>
        <w:ind w:left="1440" w:hanging="360"/>
      </w:pPr>
      <w:rPr>
        <w:rFonts w:ascii="Arial" w:hAnsi="Arial" w:hint="default"/>
      </w:rPr>
    </w:lvl>
    <w:lvl w:ilvl="2" w:tplc="0712A882" w:tentative="1">
      <w:start w:val="1"/>
      <w:numFmt w:val="bullet"/>
      <w:lvlText w:val="•"/>
      <w:lvlJc w:val="left"/>
      <w:pPr>
        <w:tabs>
          <w:tab w:val="num" w:pos="2160"/>
        </w:tabs>
        <w:ind w:left="2160" w:hanging="360"/>
      </w:pPr>
      <w:rPr>
        <w:rFonts w:ascii="Arial" w:hAnsi="Arial" w:hint="default"/>
      </w:rPr>
    </w:lvl>
    <w:lvl w:ilvl="3" w:tplc="FBB4C2F0" w:tentative="1">
      <w:start w:val="1"/>
      <w:numFmt w:val="bullet"/>
      <w:lvlText w:val="•"/>
      <w:lvlJc w:val="left"/>
      <w:pPr>
        <w:tabs>
          <w:tab w:val="num" w:pos="2880"/>
        </w:tabs>
        <w:ind w:left="2880" w:hanging="360"/>
      </w:pPr>
      <w:rPr>
        <w:rFonts w:ascii="Arial" w:hAnsi="Arial" w:hint="default"/>
      </w:rPr>
    </w:lvl>
    <w:lvl w:ilvl="4" w:tplc="EE04C426" w:tentative="1">
      <w:start w:val="1"/>
      <w:numFmt w:val="bullet"/>
      <w:lvlText w:val="•"/>
      <w:lvlJc w:val="left"/>
      <w:pPr>
        <w:tabs>
          <w:tab w:val="num" w:pos="3600"/>
        </w:tabs>
        <w:ind w:left="3600" w:hanging="360"/>
      </w:pPr>
      <w:rPr>
        <w:rFonts w:ascii="Arial" w:hAnsi="Arial" w:hint="default"/>
      </w:rPr>
    </w:lvl>
    <w:lvl w:ilvl="5" w:tplc="951241F4" w:tentative="1">
      <w:start w:val="1"/>
      <w:numFmt w:val="bullet"/>
      <w:lvlText w:val="•"/>
      <w:lvlJc w:val="left"/>
      <w:pPr>
        <w:tabs>
          <w:tab w:val="num" w:pos="4320"/>
        </w:tabs>
        <w:ind w:left="4320" w:hanging="360"/>
      </w:pPr>
      <w:rPr>
        <w:rFonts w:ascii="Arial" w:hAnsi="Arial" w:hint="default"/>
      </w:rPr>
    </w:lvl>
    <w:lvl w:ilvl="6" w:tplc="A79C7A4C" w:tentative="1">
      <w:start w:val="1"/>
      <w:numFmt w:val="bullet"/>
      <w:lvlText w:val="•"/>
      <w:lvlJc w:val="left"/>
      <w:pPr>
        <w:tabs>
          <w:tab w:val="num" w:pos="5040"/>
        </w:tabs>
        <w:ind w:left="5040" w:hanging="360"/>
      </w:pPr>
      <w:rPr>
        <w:rFonts w:ascii="Arial" w:hAnsi="Arial" w:hint="default"/>
      </w:rPr>
    </w:lvl>
    <w:lvl w:ilvl="7" w:tplc="54CEE94C" w:tentative="1">
      <w:start w:val="1"/>
      <w:numFmt w:val="bullet"/>
      <w:lvlText w:val="•"/>
      <w:lvlJc w:val="left"/>
      <w:pPr>
        <w:tabs>
          <w:tab w:val="num" w:pos="5760"/>
        </w:tabs>
        <w:ind w:left="5760" w:hanging="360"/>
      </w:pPr>
      <w:rPr>
        <w:rFonts w:ascii="Arial" w:hAnsi="Arial" w:hint="default"/>
      </w:rPr>
    </w:lvl>
    <w:lvl w:ilvl="8" w:tplc="9C0032C2" w:tentative="1">
      <w:start w:val="1"/>
      <w:numFmt w:val="bullet"/>
      <w:lvlText w:val="•"/>
      <w:lvlJc w:val="left"/>
      <w:pPr>
        <w:tabs>
          <w:tab w:val="num" w:pos="6480"/>
        </w:tabs>
        <w:ind w:left="6480" w:hanging="360"/>
      </w:pPr>
      <w:rPr>
        <w:rFonts w:ascii="Arial" w:hAnsi="Arial" w:hint="default"/>
      </w:rPr>
    </w:lvl>
  </w:abstractNum>
  <w:abstractNum w:abstractNumId="1">
    <w:nsid w:val="625B118B"/>
    <w:multiLevelType w:val="hybridMultilevel"/>
    <w:tmpl w:val="79F63FAA"/>
    <w:lvl w:ilvl="0" w:tplc="B400008C">
      <w:start w:val="1"/>
      <w:numFmt w:val="bullet"/>
      <w:lvlText w:val="•"/>
      <w:lvlJc w:val="left"/>
      <w:pPr>
        <w:tabs>
          <w:tab w:val="num" w:pos="720"/>
        </w:tabs>
        <w:ind w:left="720" w:hanging="360"/>
      </w:pPr>
      <w:rPr>
        <w:rFonts w:ascii="Arial" w:hAnsi="Arial" w:hint="default"/>
      </w:rPr>
    </w:lvl>
    <w:lvl w:ilvl="1" w:tplc="4E96210C" w:tentative="1">
      <w:start w:val="1"/>
      <w:numFmt w:val="bullet"/>
      <w:lvlText w:val="•"/>
      <w:lvlJc w:val="left"/>
      <w:pPr>
        <w:tabs>
          <w:tab w:val="num" w:pos="1440"/>
        </w:tabs>
        <w:ind w:left="1440" w:hanging="360"/>
      </w:pPr>
      <w:rPr>
        <w:rFonts w:ascii="Arial" w:hAnsi="Arial" w:hint="default"/>
      </w:rPr>
    </w:lvl>
    <w:lvl w:ilvl="2" w:tplc="29284A6A" w:tentative="1">
      <w:start w:val="1"/>
      <w:numFmt w:val="bullet"/>
      <w:lvlText w:val="•"/>
      <w:lvlJc w:val="left"/>
      <w:pPr>
        <w:tabs>
          <w:tab w:val="num" w:pos="2160"/>
        </w:tabs>
        <w:ind w:left="2160" w:hanging="360"/>
      </w:pPr>
      <w:rPr>
        <w:rFonts w:ascii="Arial" w:hAnsi="Arial" w:hint="default"/>
      </w:rPr>
    </w:lvl>
    <w:lvl w:ilvl="3" w:tplc="512EA876" w:tentative="1">
      <w:start w:val="1"/>
      <w:numFmt w:val="bullet"/>
      <w:lvlText w:val="•"/>
      <w:lvlJc w:val="left"/>
      <w:pPr>
        <w:tabs>
          <w:tab w:val="num" w:pos="2880"/>
        </w:tabs>
        <w:ind w:left="2880" w:hanging="360"/>
      </w:pPr>
      <w:rPr>
        <w:rFonts w:ascii="Arial" w:hAnsi="Arial" w:hint="default"/>
      </w:rPr>
    </w:lvl>
    <w:lvl w:ilvl="4" w:tplc="43380D4E" w:tentative="1">
      <w:start w:val="1"/>
      <w:numFmt w:val="bullet"/>
      <w:lvlText w:val="•"/>
      <w:lvlJc w:val="left"/>
      <w:pPr>
        <w:tabs>
          <w:tab w:val="num" w:pos="3600"/>
        </w:tabs>
        <w:ind w:left="3600" w:hanging="360"/>
      </w:pPr>
      <w:rPr>
        <w:rFonts w:ascii="Arial" w:hAnsi="Arial" w:hint="default"/>
      </w:rPr>
    </w:lvl>
    <w:lvl w:ilvl="5" w:tplc="D8CCCA26" w:tentative="1">
      <w:start w:val="1"/>
      <w:numFmt w:val="bullet"/>
      <w:lvlText w:val="•"/>
      <w:lvlJc w:val="left"/>
      <w:pPr>
        <w:tabs>
          <w:tab w:val="num" w:pos="4320"/>
        </w:tabs>
        <w:ind w:left="4320" w:hanging="360"/>
      </w:pPr>
      <w:rPr>
        <w:rFonts w:ascii="Arial" w:hAnsi="Arial" w:hint="default"/>
      </w:rPr>
    </w:lvl>
    <w:lvl w:ilvl="6" w:tplc="D0528616" w:tentative="1">
      <w:start w:val="1"/>
      <w:numFmt w:val="bullet"/>
      <w:lvlText w:val="•"/>
      <w:lvlJc w:val="left"/>
      <w:pPr>
        <w:tabs>
          <w:tab w:val="num" w:pos="5040"/>
        </w:tabs>
        <w:ind w:left="5040" w:hanging="360"/>
      </w:pPr>
      <w:rPr>
        <w:rFonts w:ascii="Arial" w:hAnsi="Arial" w:hint="default"/>
      </w:rPr>
    </w:lvl>
    <w:lvl w:ilvl="7" w:tplc="9FAC2A94" w:tentative="1">
      <w:start w:val="1"/>
      <w:numFmt w:val="bullet"/>
      <w:lvlText w:val="•"/>
      <w:lvlJc w:val="left"/>
      <w:pPr>
        <w:tabs>
          <w:tab w:val="num" w:pos="5760"/>
        </w:tabs>
        <w:ind w:left="5760" w:hanging="360"/>
      </w:pPr>
      <w:rPr>
        <w:rFonts w:ascii="Arial" w:hAnsi="Arial" w:hint="default"/>
      </w:rPr>
    </w:lvl>
    <w:lvl w:ilvl="8" w:tplc="CF5A6FC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542"/>
    <w:rsid w:val="00011D79"/>
    <w:rsid w:val="00035321"/>
    <w:rsid w:val="00037EA9"/>
    <w:rsid w:val="00061832"/>
    <w:rsid w:val="00066387"/>
    <w:rsid w:val="000A5431"/>
    <w:rsid w:val="001A28DD"/>
    <w:rsid w:val="00250E79"/>
    <w:rsid w:val="002807A2"/>
    <w:rsid w:val="002903C1"/>
    <w:rsid w:val="002B7542"/>
    <w:rsid w:val="004343AE"/>
    <w:rsid w:val="004376D4"/>
    <w:rsid w:val="005465B2"/>
    <w:rsid w:val="0068286E"/>
    <w:rsid w:val="006E6391"/>
    <w:rsid w:val="007041C7"/>
    <w:rsid w:val="00A9098A"/>
    <w:rsid w:val="00B92834"/>
    <w:rsid w:val="00B97BE3"/>
    <w:rsid w:val="00C66031"/>
    <w:rsid w:val="00C70102"/>
    <w:rsid w:val="00D56DD1"/>
    <w:rsid w:val="00D872D2"/>
    <w:rsid w:val="00DD31D1"/>
    <w:rsid w:val="00E14F13"/>
    <w:rsid w:val="00E42484"/>
    <w:rsid w:val="00EB292C"/>
    <w:rsid w:val="00F07BAD"/>
    <w:rsid w:val="00F35B66"/>
    <w:rsid w:val="00F84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E14F13"/>
    <w:rPr>
      <w:rFonts w:asciiTheme="minorHAnsi" w:eastAsiaTheme="minorEastAsia" w:hAnsiTheme="minorHAnsi" w:cstheme="minorBidi"/>
      <w:sz w:val="24"/>
      <w:szCs w:val="24"/>
      <w:lang w:eastAsia="fr-FR"/>
    </w:rPr>
  </w:style>
  <w:style w:type="paragraph" w:styleId="Titre1">
    <w:name w:val="heading 1"/>
    <w:basedOn w:val="Normal"/>
    <w:next w:val="Normal"/>
    <w:link w:val="Titre1Car"/>
    <w:autoRedefine/>
    <w:uiPriority w:val="9"/>
    <w:qFormat/>
    <w:rsid w:val="005465B2"/>
    <w:pPr>
      <w:keepNext/>
      <w:spacing w:before="240" w:after="60"/>
      <w:outlineLvl w:val="0"/>
    </w:pPr>
    <w:rPr>
      <w:rFonts w:eastAsia="Times New Roman"/>
      <w:b/>
      <w:bCs/>
      <w:color w:val="1F497D" w:themeColor="text2"/>
      <w:kern w:val="32"/>
      <w:sz w:val="32"/>
      <w:szCs w:val="32"/>
      <w:lang w:eastAsia="en-US"/>
    </w:rPr>
  </w:style>
  <w:style w:type="paragraph" w:styleId="Titre2">
    <w:name w:val="heading 2"/>
    <w:basedOn w:val="Normal"/>
    <w:next w:val="Normal"/>
    <w:link w:val="Titre2Car"/>
    <w:uiPriority w:val="9"/>
    <w:unhideWhenUsed/>
    <w:qFormat/>
    <w:rsid w:val="004376D4"/>
    <w:pPr>
      <w:keepNext/>
      <w:spacing w:before="240" w:after="60"/>
      <w:outlineLvl w:val="1"/>
    </w:pPr>
    <w:rPr>
      <w:rFonts w:eastAsiaTheme="majorEastAsia" w:cstheme="majorBidi"/>
      <w:b/>
      <w:bCs/>
      <w:i/>
      <w:i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EB292C"/>
    <w:pPr>
      <w:pBdr>
        <w:bottom w:val="single" w:sz="8" w:space="4" w:color="4F81BD" w:themeColor="accent1"/>
      </w:pBdr>
      <w:spacing w:after="300"/>
      <w:contextualSpacing/>
      <w:jc w:val="center"/>
    </w:pPr>
    <w:rPr>
      <w:rFonts w:eastAsiaTheme="majorEastAsia" w:cstheme="majorBidi"/>
      <w:color w:val="17365D" w:themeColor="text2" w:themeShade="BF"/>
      <w:spacing w:val="5"/>
      <w:kern w:val="28"/>
      <w:sz w:val="40"/>
      <w:szCs w:val="52"/>
      <w:lang w:eastAsia="en-US"/>
    </w:rPr>
  </w:style>
  <w:style w:type="character" w:customStyle="1" w:styleId="TitreCar">
    <w:name w:val="Titre Car"/>
    <w:basedOn w:val="Policepardfaut"/>
    <w:link w:val="Titre"/>
    <w:uiPriority w:val="10"/>
    <w:rsid w:val="00EB292C"/>
    <w:rPr>
      <w:rFonts w:asciiTheme="majorHAnsi" w:eastAsiaTheme="majorEastAsia" w:hAnsiTheme="majorHAnsi" w:cstheme="majorBidi"/>
      <w:color w:val="17365D" w:themeColor="text2" w:themeShade="BF"/>
      <w:spacing w:val="5"/>
      <w:kern w:val="28"/>
      <w:sz w:val="40"/>
      <w:szCs w:val="52"/>
    </w:rPr>
  </w:style>
  <w:style w:type="paragraph" w:customStyle="1" w:styleId="exam">
    <w:name w:val="exam"/>
    <w:basedOn w:val="Titre2"/>
    <w:link w:val="examCar"/>
    <w:qFormat/>
    <w:rsid w:val="00C70102"/>
    <w:rPr>
      <w:rFonts w:eastAsia="Times New Roman"/>
      <w:color w:val="FF0000"/>
      <w:lang w:val="en-US"/>
    </w:rPr>
  </w:style>
  <w:style w:type="character" w:customStyle="1" w:styleId="examCar">
    <w:name w:val="exam Car"/>
    <w:basedOn w:val="Titre2Car"/>
    <w:link w:val="exam"/>
    <w:rsid w:val="00C70102"/>
    <w:rPr>
      <w:rFonts w:asciiTheme="minorHAnsi" w:eastAsia="Times New Roman" w:hAnsiTheme="minorHAnsi" w:cstheme="majorBidi"/>
      <w:b/>
      <w:bCs/>
      <w:i/>
      <w:iCs/>
      <w:color w:val="FF0000"/>
      <w:sz w:val="28"/>
      <w:szCs w:val="28"/>
      <w:lang w:val="en-US"/>
    </w:rPr>
  </w:style>
  <w:style w:type="character" w:customStyle="1" w:styleId="Titre2Car">
    <w:name w:val="Titre 2 Car"/>
    <w:link w:val="Titre2"/>
    <w:uiPriority w:val="9"/>
    <w:rsid w:val="004376D4"/>
    <w:rPr>
      <w:rFonts w:asciiTheme="minorHAnsi" w:eastAsiaTheme="majorEastAsia" w:hAnsiTheme="minorHAnsi" w:cstheme="majorBidi"/>
      <w:b/>
      <w:bCs/>
      <w:i/>
      <w:iCs/>
      <w:sz w:val="24"/>
      <w:szCs w:val="24"/>
    </w:rPr>
  </w:style>
  <w:style w:type="character" w:customStyle="1" w:styleId="Titre1Car">
    <w:name w:val="Titre 1 Car"/>
    <w:link w:val="Titre1"/>
    <w:uiPriority w:val="9"/>
    <w:rsid w:val="005465B2"/>
    <w:rPr>
      <w:rFonts w:asciiTheme="minorHAnsi" w:eastAsia="Times New Roman" w:hAnsiTheme="minorHAnsi" w:cstheme="minorBidi"/>
      <w:b/>
      <w:bCs/>
      <w:color w:val="1F497D" w:themeColor="text2"/>
      <w:kern w:val="32"/>
      <w:sz w:val="32"/>
      <w:szCs w:val="32"/>
    </w:rPr>
  </w:style>
  <w:style w:type="paragraph" w:styleId="Sous-titre">
    <w:name w:val="Subtitle"/>
    <w:basedOn w:val="Normal"/>
    <w:link w:val="Sous-titreCar"/>
    <w:qFormat/>
    <w:rsid w:val="00C70102"/>
    <w:pPr>
      <w:jc w:val="center"/>
    </w:pPr>
    <w:rPr>
      <w:rFonts w:ascii="Times New Roman" w:eastAsia="Times New Roman" w:hAnsi="Times New Roman"/>
      <w:sz w:val="28"/>
      <w:lang w:eastAsia="en-US"/>
    </w:rPr>
  </w:style>
  <w:style w:type="character" w:customStyle="1" w:styleId="Sous-titreCar">
    <w:name w:val="Sous-titre Car"/>
    <w:link w:val="Sous-titre"/>
    <w:rsid w:val="00C70102"/>
    <w:rPr>
      <w:rFonts w:ascii="Times New Roman" w:eastAsia="Times New Roman" w:hAnsi="Times New Roman"/>
      <w:sz w:val="28"/>
      <w:szCs w:val="24"/>
    </w:rPr>
  </w:style>
  <w:style w:type="paragraph" w:styleId="Citationintense">
    <w:name w:val="Intense Quote"/>
    <w:basedOn w:val="Normal"/>
    <w:next w:val="Normal"/>
    <w:link w:val="CitationintenseCar"/>
    <w:uiPriority w:val="60"/>
    <w:qFormat/>
    <w:rsid w:val="00C70102"/>
    <w:pPr>
      <w:pBdr>
        <w:bottom w:val="single" w:sz="4" w:space="4" w:color="4F81BD"/>
      </w:pBdr>
      <w:spacing w:before="200" w:after="280"/>
      <w:ind w:left="936" w:right="936"/>
    </w:pPr>
    <w:rPr>
      <w:rFonts w:ascii="Book Antiqua" w:hAnsi="Book Antiqua"/>
      <w:b/>
      <w:bCs/>
      <w:i/>
      <w:iCs/>
      <w:color w:val="4F81BD"/>
      <w:lang w:eastAsia="en-US"/>
    </w:rPr>
  </w:style>
  <w:style w:type="character" w:customStyle="1" w:styleId="CitationintenseCar">
    <w:name w:val="Citation intense Car"/>
    <w:link w:val="Citationintense"/>
    <w:uiPriority w:val="60"/>
    <w:rsid w:val="00C70102"/>
    <w:rPr>
      <w:rFonts w:ascii="Book Antiqua" w:hAnsi="Book Antiqua"/>
      <w:b/>
      <w:bCs/>
      <w:i/>
      <w:iCs/>
      <w:color w:val="4F81BD"/>
      <w:sz w:val="24"/>
      <w:szCs w:val="24"/>
    </w:rPr>
  </w:style>
  <w:style w:type="paragraph" w:styleId="En-ttedetabledesmatires">
    <w:name w:val="TOC Heading"/>
    <w:basedOn w:val="Titre1"/>
    <w:next w:val="Normal"/>
    <w:uiPriority w:val="39"/>
    <w:semiHidden/>
    <w:unhideWhenUsed/>
    <w:qFormat/>
    <w:rsid w:val="00C70102"/>
    <w:pPr>
      <w:keepLines/>
      <w:spacing w:before="480" w:after="0"/>
      <w:outlineLvl w:val="9"/>
    </w:pPr>
    <w:rPr>
      <w:color w:val="365F91"/>
      <w:kern w:val="0"/>
      <w:szCs w:val="28"/>
      <w:lang w:eastAsia="fr-FR"/>
    </w:rPr>
  </w:style>
  <w:style w:type="paragraph" w:styleId="Paragraphedeliste">
    <w:name w:val="List Paragraph"/>
    <w:basedOn w:val="Normal"/>
    <w:uiPriority w:val="72"/>
    <w:qFormat/>
    <w:rsid w:val="00250E79"/>
    <w:pPr>
      <w:ind w:left="720"/>
      <w:contextualSpacing/>
    </w:pPr>
  </w:style>
  <w:style w:type="paragraph" w:styleId="Sansinterligne">
    <w:name w:val="No Spacing"/>
    <w:basedOn w:val="Normal"/>
    <w:uiPriority w:val="1"/>
    <w:qFormat/>
    <w:rsid w:val="00E14F1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E14F13"/>
  </w:style>
  <w:style w:type="character" w:styleId="lev">
    <w:name w:val="Strong"/>
    <w:basedOn w:val="Policepardfaut"/>
    <w:uiPriority w:val="22"/>
    <w:qFormat/>
    <w:rsid w:val="00E14F13"/>
    <w:rPr>
      <w:b/>
      <w:bCs/>
    </w:rPr>
  </w:style>
  <w:style w:type="paragraph" w:styleId="En-tte">
    <w:name w:val="header"/>
    <w:basedOn w:val="Normal"/>
    <w:link w:val="En-tteCar"/>
    <w:uiPriority w:val="99"/>
    <w:unhideWhenUsed/>
    <w:rsid w:val="007041C7"/>
    <w:pPr>
      <w:tabs>
        <w:tab w:val="center" w:pos="4536"/>
        <w:tab w:val="right" w:pos="9072"/>
      </w:tabs>
    </w:pPr>
  </w:style>
  <w:style w:type="character" w:customStyle="1" w:styleId="En-tteCar">
    <w:name w:val="En-tête Car"/>
    <w:basedOn w:val="Policepardfaut"/>
    <w:link w:val="En-tte"/>
    <w:uiPriority w:val="99"/>
    <w:rsid w:val="007041C7"/>
    <w:rPr>
      <w:rFonts w:asciiTheme="minorHAnsi" w:eastAsiaTheme="minorEastAsia" w:hAnsiTheme="minorHAnsi" w:cstheme="minorBidi"/>
      <w:sz w:val="24"/>
      <w:szCs w:val="24"/>
      <w:lang w:eastAsia="fr-FR"/>
    </w:rPr>
  </w:style>
  <w:style w:type="paragraph" w:styleId="Pieddepage">
    <w:name w:val="footer"/>
    <w:basedOn w:val="Normal"/>
    <w:link w:val="PieddepageCar"/>
    <w:uiPriority w:val="99"/>
    <w:unhideWhenUsed/>
    <w:rsid w:val="007041C7"/>
    <w:pPr>
      <w:tabs>
        <w:tab w:val="center" w:pos="4536"/>
        <w:tab w:val="right" w:pos="9072"/>
      </w:tabs>
    </w:pPr>
  </w:style>
  <w:style w:type="character" w:customStyle="1" w:styleId="PieddepageCar">
    <w:name w:val="Pied de page Car"/>
    <w:basedOn w:val="Policepardfaut"/>
    <w:link w:val="Pieddepage"/>
    <w:uiPriority w:val="99"/>
    <w:rsid w:val="007041C7"/>
    <w:rPr>
      <w:rFonts w:asciiTheme="minorHAnsi" w:eastAsiaTheme="minorEastAsia" w:hAnsiTheme="minorHAnsi" w:cstheme="minorBidi"/>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E14F13"/>
    <w:rPr>
      <w:rFonts w:asciiTheme="minorHAnsi" w:eastAsiaTheme="minorEastAsia" w:hAnsiTheme="minorHAnsi" w:cstheme="minorBidi"/>
      <w:sz w:val="24"/>
      <w:szCs w:val="24"/>
      <w:lang w:eastAsia="fr-FR"/>
    </w:rPr>
  </w:style>
  <w:style w:type="paragraph" w:styleId="Titre1">
    <w:name w:val="heading 1"/>
    <w:basedOn w:val="Normal"/>
    <w:next w:val="Normal"/>
    <w:link w:val="Titre1Car"/>
    <w:autoRedefine/>
    <w:uiPriority w:val="9"/>
    <w:qFormat/>
    <w:rsid w:val="005465B2"/>
    <w:pPr>
      <w:keepNext/>
      <w:spacing w:before="240" w:after="60"/>
      <w:outlineLvl w:val="0"/>
    </w:pPr>
    <w:rPr>
      <w:rFonts w:eastAsia="Times New Roman"/>
      <w:b/>
      <w:bCs/>
      <w:color w:val="1F497D" w:themeColor="text2"/>
      <w:kern w:val="32"/>
      <w:sz w:val="32"/>
      <w:szCs w:val="32"/>
      <w:lang w:eastAsia="en-US"/>
    </w:rPr>
  </w:style>
  <w:style w:type="paragraph" w:styleId="Titre2">
    <w:name w:val="heading 2"/>
    <w:basedOn w:val="Normal"/>
    <w:next w:val="Normal"/>
    <w:link w:val="Titre2Car"/>
    <w:uiPriority w:val="9"/>
    <w:unhideWhenUsed/>
    <w:qFormat/>
    <w:rsid w:val="004376D4"/>
    <w:pPr>
      <w:keepNext/>
      <w:spacing w:before="240" w:after="60"/>
      <w:outlineLvl w:val="1"/>
    </w:pPr>
    <w:rPr>
      <w:rFonts w:eastAsiaTheme="majorEastAsia" w:cstheme="majorBidi"/>
      <w:b/>
      <w:bCs/>
      <w:i/>
      <w:i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EB292C"/>
    <w:pPr>
      <w:pBdr>
        <w:bottom w:val="single" w:sz="8" w:space="4" w:color="4F81BD" w:themeColor="accent1"/>
      </w:pBdr>
      <w:spacing w:after="300"/>
      <w:contextualSpacing/>
      <w:jc w:val="center"/>
    </w:pPr>
    <w:rPr>
      <w:rFonts w:eastAsiaTheme="majorEastAsia" w:cstheme="majorBidi"/>
      <w:color w:val="17365D" w:themeColor="text2" w:themeShade="BF"/>
      <w:spacing w:val="5"/>
      <w:kern w:val="28"/>
      <w:sz w:val="40"/>
      <w:szCs w:val="52"/>
      <w:lang w:eastAsia="en-US"/>
    </w:rPr>
  </w:style>
  <w:style w:type="character" w:customStyle="1" w:styleId="TitreCar">
    <w:name w:val="Titre Car"/>
    <w:basedOn w:val="Policepardfaut"/>
    <w:link w:val="Titre"/>
    <w:uiPriority w:val="10"/>
    <w:rsid w:val="00EB292C"/>
    <w:rPr>
      <w:rFonts w:asciiTheme="majorHAnsi" w:eastAsiaTheme="majorEastAsia" w:hAnsiTheme="majorHAnsi" w:cstheme="majorBidi"/>
      <w:color w:val="17365D" w:themeColor="text2" w:themeShade="BF"/>
      <w:spacing w:val="5"/>
      <w:kern w:val="28"/>
      <w:sz w:val="40"/>
      <w:szCs w:val="52"/>
    </w:rPr>
  </w:style>
  <w:style w:type="paragraph" w:customStyle="1" w:styleId="exam">
    <w:name w:val="exam"/>
    <w:basedOn w:val="Titre2"/>
    <w:link w:val="examCar"/>
    <w:qFormat/>
    <w:rsid w:val="00C70102"/>
    <w:rPr>
      <w:rFonts w:eastAsia="Times New Roman"/>
      <w:color w:val="FF0000"/>
      <w:lang w:val="en-US"/>
    </w:rPr>
  </w:style>
  <w:style w:type="character" w:customStyle="1" w:styleId="examCar">
    <w:name w:val="exam Car"/>
    <w:basedOn w:val="Titre2Car"/>
    <w:link w:val="exam"/>
    <w:rsid w:val="00C70102"/>
    <w:rPr>
      <w:rFonts w:asciiTheme="minorHAnsi" w:eastAsia="Times New Roman" w:hAnsiTheme="minorHAnsi" w:cstheme="majorBidi"/>
      <w:b/>
      <w:bCs/>
      <w:i/>
      <w:iCs/>
      <w:color w:val="FF0000"/>
      <w:sz w:val="28"/>
      <w:szCs w:val="28"/>
      <w:lang w:val="en-US"/>
    </w:rPr>
  </w:style>
  <w:style w:type="character" w:customStyle="1" w:styleId="Titre2Car">
    <w:name w:val="Titre 2 Car"/>
    <w:link w:val="Titre2"/>
    <w:uiPriority w:val="9"/>
    <w:rsid w:val="004376D4"/>
    <w:rPr>
      <w:rFonts w:asciiTheme="minorHAnsi" w:eastAsiaTheme="majorEastAsia" w:hAnsiTheme="minorHAnsi" w:cstheme="majorBidi"/>
      <w:b/>
      <w:bCs/>
      <w:i/>
      <w:iCs/>
      <w:sz w:val="24"/>
      <w:szCs w:val="24"/>
    </w:rPr>
  </w:style>
  <w:style w:type="character" w:customStyle="1" w:styleId="Titre1Car">
    <w:name w:val="Titre 1 Car"/>
    <w:link w:val="Titre1"/>
    <w:uiPriority w:val="9"/>
    <w:rsid w:val="005465B2"/>
    <w:rPr>
      <w:rFonts w:asciiTheme="minorHAnsi" w:eastAsia="Times New Roman" w:hAnsiTheme="minorHAnsi" w:cstheme="minorBidi"/>
      <w:b/>
      <w:bCs/>
      <w:color w:val="1F497D" w:themeColor="text2"/>
      <w:kern w:val="32"/>
      <w:sz w:val="32"/>
      <w:szCs w:val="32"/>
    </w:rPr>
  </w:style>
  <w:style w:type="paragraph" w:styleId="Sous-titre">
    <w:name w:val="Subtitle"/>
    <w:basedOn w:val="Normal"/>
    <w:link w:val="Sous-titreCar"/>
    <w:qFormat/>
    <w:rsid w:val="00C70102"/>
    <w:pPr>
      <w:jc w:val="center"/>
    </w:pPr>
    <w:rPr>
      <w:rFonts w:ascii="Times New Roman" w:eastAsia="Times New Roman" w:hAnsi="Times New Roman"/>
      <w:sz w:val="28"/>
      <w:lang w:eastAsia="en-US"/>
    </w:rPr>
  </w:style>
  <w:style w:type="character" w:customStyle="1" w:styleId="Sous-titreCar">
    <w:name w:val="Sous-titre Car"/>
    <w:link w:val="Sous-titre"/>
    <w:rsid w:val="00C70102"/>
    <w:rPr>
      <w:rFonts w:ascii="Times New Roman" w:eastAsia="Times New Roman" w:hAnsi="Times New Roman"/>
      <w:sz w:val="28"/>
      <w:szCs w:val="24"/>
    </w:rPr>
  </w:style>
  <w:style w:type="paragraph" w:styleId="Citationintense">
    <w:name w:val="Intense Quote"/>
    <w:basedOn w:val="Normal"/>
    <w:next w:val="Normal"/>
    <w:link w:val="CitationintenseCar"/>
    <w:uiPriority w:val="60"/>
    <w:qFormat/>
    <w:rsid w:val="00C70102"/>
    <w:pPr>
      <w:pBdr>
        <w:bottom w:val="single" w:sz="4" w:space="4" w:color="4F81BD"/>
      </w:pBdr>
      <w:spacing w:before="200" w:after="280"/>
      <w:ind w:left="936" w:right="936"/>
    </w:pPr>
    <w:rPr>
      <w:rFonts w:ascii="Book Antiqua" w:hAnsi="Book Antiqua"/>
      <w:b/>
      <w:bCs/>
      <w:i/>
      <w:iCs/>
      <w:color w:val="4F81BD"/>
      <w:lang w:eastAsia="en-US"/>
    </w:rPr>
  </w:style>
  <w:style w:type="character" w:customStyle="1" w:styleId="CitationintenseCar">
    <w:name w:val="Citation intense Car"/>
    <w:link w:val="Citationintense"/>
    <w:uiPriority w:val="60"/>
    <w:rsid w:val="00C70102"/>
    <w:rPr>
      <w:rFonts w:ascii="Book Antiqua" w:hAnsi="Book Antiqua"/>
      <w:b/>
      <w:bCs/>
      <w:i/>
      <w:iCs/>
      <w:color w:val="4F81BD"/>
      <w:sz w:val="24"/>
      <w:szCs w:val="24"/>
    </w:rPr>
  </w:style>
  <w:style w:type="paragraph" w:styleId="En-ttedetabledesmatires">
    <w:name w:val="TOC Heading"/>
    <w:basedOn w:val="Titre1"/>
    <w:next w:val="Normal"/>
    <w:uiPriority w:val="39"/>
    <w:semiHidden/>
    <w:unhideWhenUsed/>
    <w:qFormat/>
    <w:rsid w:val="00C70102"/>
    <w:pPr>
      <w:keepLines/>
      <w:spacing w:before="480" w:after="0"/>
      <w:outlineLvl w:val="9"/>
    </w:pPr>
    <w:rPr>
      <w:color w:val="365F91"/>
      <w:kern w:val="0"/>
      <w:szCs w:val="28"/>
      <w:lang w:eastAsia="fr-FR"/>
    </w:rPr>
  </w:style>
  <w:style w:type="paragraph" w:styleId="Paragraphedeliste">
    <w:name w:val="List Paragraph"/>
    <w:basedOn w:val="Normal"/>
    <w:uiPriority w:val="72"/>
    <w:qFormat/>
    <w:rsid w:val="00250E79"/>
    <w:pPr>
      <w:ind w:left="720"/>
      <w:contextualSpacing/>
    </w:pPr>
  </w:style>
  <w:style w:type="paragraph" w:styleId="Sansinterligne">
    <w:name w:val="No Spacing"/>
    <w:basedOn w:val="Normal"/>
    <w:uiPriority w:val="1"/>
    <w:qFormat/>
    <w:rsid w:val="00E14F1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E14F13"/>
  </w:style>
  <w:style w:type="character" w:styleId="lev">
    <w:name w:val="Strong"/>
    <w:basedOn w:val="Policepardfaut"/>
    <w:uiPriority w:val="22"/>
    <w:qFormat/>
    <w:rsid w:val="00E14F13"/>
    <w:rPr>
      <w:b/>
      <w:bCs/>
    </w:rPr>
  </w:style>
  <w:style w:type="paragraph" w:styleId="En-tte">
    <w:name w:val="header"/>
    <w:basedOn w:val="Normal"/>
    <w:link w:val="En-tteCar"/>
    <w:uiPriority w:val="99"/>
    <w:unhideWhenUsed/>
    <w:rsid w:val="007041C7"/>
    <w:pPr>
      <w:tabs>
        <w:tab w:val="center" w:pos="4536"/>
        <w:tab w:val="right" w:pos="9072"/>
      </w:tabs>
    </w:pPr>
  </w:style>
  <w:style w:type="character" w:customStyle="1" w:styleId="En-tteCar">
    <w:name w:val="En-tête Car"/>
    <w:basedOn w:val="Policepardfaut"/>
    <w:link w:val="En-tte"/>
    <w:uiPriority w:val="99"/>
    <w:rsid w:val="007041C7"/>
    <w:rPr>
      <w:rFonts w:asciiTheme="minorHAnsi" w:eastAsiaTheme="minorEastAsia" w:hAnsiTheme="minorHAnsi" w:cstheme="minorBidi"/>
      <w:sz w:val="24"/>
      <w:szCs w:val="24"/>
      <w:lang w:eastAsia="fr-FR"/>
    </w:rPr>
  </w:style>
  <w:style w:type="paragraph" w:styleId="Pieddepage">
    <w:name w:val="footer"/>
    <w:basedOn w:val="Normal"/>
    <w:link w:val="PieddepageCar"/>
    <w:uiPriority w:val="99"/>
    <w:unhideWhenUsed/>
    <w:rsid w:val="007041C7"/>
    <w:pPr>
      <w:tabs>
        <w:tab w:val="center" w:pos="4536"/>
        <w:tab w:val="right" w:pos="9072"/>
      </w:tabs>
    </w:pPr>
  </w:style>
  <w:style w:type="character" w:customStyle="1" w:styleId="PieddepageCar">
    <w:name w:val="Pied de page Car"/>
    <w:basedOn w:val="Policepardfaut"/>
    <w:link w:val="Pieddepage"/>
    <w:uiPriority w:val="99"/>
    <w:rsid w:val="007041C7"/>
    <w:rPr>
      <w:rFonts w:asciiTheme="minorHAnsi" w:eastAsiaTheme="minorEastAsia" w:hAnsiTheme="minorHAnsi" w:cstheme="minorBid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004764">
      <w:bodyDiv w:val="1"/>
      <w:marLeft w:val="0"/>
      <w:marRight w:val="0"/>
      <w:marTop w:val="0"/>
      <w:marBottom w:val="0"/>
      <w:divBdr>
        <w:top w:val="none" w:sz="0" w:space="0" w:color="auto"/>
        <w:left w:val="none" w:sz="0" w:space="0" w:color="auto"/>
        <w:bottom w:val="none" w:sz="0" w:space="0" w:color="auto"/>
        <w:right w:val="none" w:sz="0" w:space="0" w:color="auto"/>
      </w:divBdr>
      <w:divsChild>
        <w:div w:id="1597209879">
          <w:marLeft w:val="547"/>
          <w:marRight w:val="0"/>
          <w:marTop w:val="86"/>
          <w:marBottom w:val="0"/>
          <w:divBdr>
            <w:top w:val="none" w:sz="0" w:space="0" w:color="auto"/>
            <w:left w:val="none" w:sz="0" w:space="0" w:color="auto"/>
            <w:bottom w:val="none" w:sz="0" w:space="0" w:color="auto"/>
            <w:right w:val="none" w:sz="0" w:space="0" w:color="auto"/>
          </w:divBdr>
        </w:div>
        <w:div w:id="1443501325">
          <w:marLeft w:val="547"/>
          <w:marRight w:val="0"/>
          <w:marTop w:val="86"/>
          <w:marBottom w:val="0"/>
          <w:divBdr>
            <w:top w:val="none" w:sz="0" w:space="0" w:color="auto"/>
            <w:left w:val="none" w:sz="0" w:space="0" w:color="auto"/>
            <w:bottom w:val="none" w:sz="0" w:space="0" w:color="auto"/>
            <w:right w:val="none" w:sz="0" w:space="0" w:color="auto"/>
          </w:divBdr>
        </w:div>
        <w:div w:id="1565990911">
          <w:marLeft w:val="547"/>
          <w:marRight w:val="0"/>
          <w:marTop w:val="86"/>
          <w:marBottom w:val="0"/>
          <w:divBdr>
            <w:top w:val="none" w:sz="0" w:space="0" w:color="auto"/>
            <w:left w:val="none" w:sz="0" w:space="0" w:color="auto"/>
            <w:bottom w:val="none" w:sz="0" w:space="0" w:color="auto"/>
            <w:right w:val="none" w:sz="0" w:space="0" w:color="auto"/>
          </w:divBdr>
        </w:div>
        <w:div w:id="485168027">
          <w:marLeft w:val="547"/>
          <w:marRight w:val="0"/>
          <w:marTop w:val="86"/>
          <w:marBottom w:val="0"/>
          <w:divBdr>
            <w:top w:val="none" w:sz="0" w:space="0" w:color="auto"/>
            <w:left w:val="none" w:sz="0" w:space="0" w:color="auto"/>
            <w:bottom w:val="none" w:sz="0" w:space="0" w:color="auto"/>
            <w:right w:val="none" w:sz="0" w:space="0" w:color="auto"/>
          </w:divBdr>
        </w:div>
        <w:div w:id="1835805066">
          <w:marLeft w:val="547"/>
          <w:marRight w:val="0"/>
          <w:marTop w:val="86"/>
          <w:marBottom w:val="0"/>
          <w:divBdr>
            <w:top w:val="none" w:sz="0" w:space="0" w:color="auto"/>
            <w:left w:val="none" w:sz="0" w:space="0" w:color="auto"/>
            <w:bottom w:val="none" w:sz="0" w:space="0" w:color="auto"/>
            <w:right w:val="none" w:sz="0" w:space="0" w:color="auto"/>
          </w:divBdr>
        </w:div>
      </w:divsChild>
    </w:div>
    <w:div w:id="621687518">
      <w:bodyDiv w:val="1"/>
      <w:marLeft w:val="0"/>
      <w:marRight w:val="0"/>
      <w:marTop w:val="0"/>
      <w:marBottom w:val="0"/>
      <w:divBdr>
        <w:top w:val="none" w:sz="0" w:space="0" w:color="auto"/>
        <w:left w:val="none" w:sz="0" w:space="0" w:color="auto"/>
        <w:bottom w:val="none" w:sz="0" w:space="0" w:color="auto"/>
        <w:right w:val="none" w:sz="0" w:space="0" w:color="auto"/>
      </w:divBdr>
    </w:div>
    <w:div w:id="1369069391">
      <w:bodyDiv w:val="1"/>
      <w:marLeft w:val="0"/>
      <w:marRight w:val="0"/>
      <w:marTop w:val="0"/>
      <w:marBottom w:val="0"/>
      <w:divBdr>
        <w:top w:val="none" w:sz="0" w:space="0" w:color="auto"/>
        <w:left w:val="none" w:sz="0" w:space="0" w:color="auto"/>
        <w:bottom w:val="none" w:sz="0" w:space="0" w:color="auto"/>
        <w:right w:val="none" w:sz="0" w:space="0" w:color="auto"/>
      </w:divBdr>
      <w:divsChild>
        <w:div w:id="450437915">
          <w:marLeft w:val="547"/>
          <w:marRight w:val="0"/>
          <w:marTop w:val="96"/>
          <w:marBottom w:val="0"/>
          <w:divBdr>
            <w:top w:val="none" w:sz="0" w:space="0" w:color="auto"/>
            <w:left w:val="none" w:sz="0" w:space="0" w:color="auto"/>
            <w:bottom w:val="none" w:sz="0" w:space="0" w:color="auto"/>
            <w:right w:val="none" w:sz="0" w:space="0" w:color="auto"/>
          </w:divBdr>
        </w:div>
        <w:div w:id="1592546872">
          <w:marLeft w:val="547"/>
          <w:marRight w:val="0"/>
          <w:marTop w:val="96"/>
          <w:marBottom w:val="0"/>
          <w:divBdr>
            <w:top w:val="none" w:sz="0" w:space="0" w:color="auto"/>
            <w:left w:val="none" w:sz="0" w:space="0" w:color="auto"/>
            <w:bottom w:val="none" w:sz="0" w:space="0" w:color="auto"/>
            <w:right w:val="none" w:sz="0" w:space="0" w:color="auto"/>
          </w:divBdr>
        </w:div>
        <w:div w:id="1925020504">
          <w:marLeft w:val="547"/>
          <w:marRight w:val="0"/>
          <w:marTop w:val="96"/>
          <w:marBottom w:val="0"/>
          <w:divBdr>
            <w:top w:val="none" w:sz="0" w:space="0" w:color="auto"/>
            <w:left w:val="none" w:sz="0" w:space="0" w:color="auto"/>
            <w:bottom w:val="none" w:sz="0" w:space="0" w:color="auto"/>
            <w:right w:val="none" w:sz="0" w:space="0" w:color="auto"/>
          </w:divBdr>
        </w:div>
        <w:div w:id="139450690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977</Words>
  <Characters>5378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Mouret</dc:creator>
  <cp:lastModifiedBy>Laurence Mouret</cp:lastModifiedBy>
  <cp:revision>9</cp:revision>
  <dcterms:created xsi:type="dcterms:W3CDTF">2016-01-20T13:42:00Z</dcterms:created>
  <dcterms:modified xsi:type="dcterms:W3CDTF">2016-01-25T10:22:00Z</dcterms:modified>
</cp:coreProperties>
</file>